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</w:p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  <w:r>
        <w:rPr>
          <w:rFonts w:cs="Times New Roman"/>
          <w:b/>
          <w:color w:val="002060"/>
        </w:rPr>
        <w:t>КАРТА ОЦЕНКИ МАТЕРИАЛЬНО-Т</w:t>
      </w:r>
      <w:r w:rsidR="000E55DF">
        <w:rPr>
          <w:rFonts w:cs="Times New Roman"/>
          <w:b/>
          <w:color w:val="002060"/>
        </w:rPr>
        <w:t>ЕХНИЧЕСКИХ УСЛОВИЙ РЕАЛИЗАЦИИ О</w:t>
      </w:r>
      <w:r>
        <w:rPr>
          <w:rFonts w:cs="Times New Roman"/>
          <w:b/>
          <w:color w:val="002060"/>
        </w:rPr>
        <w:t>П ДОУ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353"/>
        <w:gridCol w:w="1134"/>
        <w:gridCol w:w="992"/>
      </w:tblGrid>
      <w:tr w:rsidR="00546E94" w:rsidRPr="00A21DA4" w:rsidTr="00546E94">
        <w:tc>
          <w:tcPr>
            <w:tcW w:w="765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353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0"/>
                <w:lang w:eastAsia="en-GB"/>
              </w:rPr>
            </w:pPr>
            <w:r w:rsidRPr="00A21DA4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546E94" w:rsidRPr="00A21DA4" w:rsidTr="00546E94">
        <w:trPr>
          <w:trHeight w:hRule="exact" w:val="433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Матер</w:t>
            </w:r>
            <w:r w:rsidR="000E55DF">
              <w:rPr>
                <w:rFonts w:cs="Times New Roman"/>
                <w:b/>
                <w:sz w:val="24"/>
                <w:szCs w:val="24"/>
              </w:rPr>
              <w:t xml:space="preserve">иально-техническое обеспечение </w:t>
            </w: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>ОП ДОУ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учебно-методическим комплектом и необходимым оборудованием в объёме, предусмотренном программой.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оснащёнными учебными кабинетами, необходимыми для реализации программы.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Оснащённость информационно-коммуникативными средствами, используемыми в целях образования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мобильного интерактивного комплекса (интерактивная доска, проектор, ноутбук) и пр.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5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компьютеров, имеющих доступ к сети Интернет.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персональных компьютеров доступных для использования детьми.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Состояние и содержание территории, зданий и помещений в соответствии с санитарно-эпидемиологическими правилами и нормами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музыкальный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физкультурный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учителя-логопеда;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учителя-дефектолога;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педагога-психолога;</w:t>
            </w:r>
          </w:p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отдельная изостудия.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3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теневых навесов на прогулочных площадках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обеспечена возможность хранения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3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детской мебели, соответствующей росту детей.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столов и стульев, соответствующих числу детей в группе.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5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маркировки на индивидуальных шкафчиках в раздевальной (приемной) в соответствии с гендерной спецификой.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организация спортивного уголка в группах, обеспечивающего стимулирование двигательной активности воспитанников.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сертификатов на игрушки.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7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Имеется 3 комплекта постельного белья, включая полотенца для лица и ног, 2 смены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наматрасников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каждого ребёнка.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умывальных раковин и унитазов из расчета 1 раковина (унитаз) на 5 детей, их состояние.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хозяйственных шкафов, шкафов для уборочного инвентаря в исправном состоянии.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Источники искусственного освещения содержатся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Исправность системы отопления и вентиляции, обеспечена возможность использования ограждений отопительных приборов.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бытовых термометров для организации контроля температуры воздуха и соблюдения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графика влажной уборки помещений.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хранения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ежедневного мытья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0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смены постельного белья, полотенец.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Технологическое и холодильное оборудование, инвентарь, посуда, тара находятся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 кухонном инвентаре и посуде для сырых и готовых пищевых продуктов имеется маркировка.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Соблюдаются условия хранения сырой и готовой продукции в соответствии с нормативно-технической документацией.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Мытьё посуды и технологического оборудования осуществляется с соблюдением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Соблюдается график генеральной уборки помещений и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документов на пищевые продукты и продовольственное сырьё, подтверждающих их качество и безопасность (ярлычков, сертификатов, удостоверений).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Качественно ведётся журнал «Бракераж сырых продуктов».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Обеспечена правильность хранения скоропортящихся продуктов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температурного режима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Соблюдений условий хранения продуктов в складских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санитарно-эпидемиологических требований к технологическим процессам.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обработки яиц.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производства готовых блюд в соответствии с технологическими картами.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и графика выдачи готовой пищи на пищеблоке, на группах.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контрольных блюд.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правильного питьевого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соблюдение примерного меню.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журнала бракеража готовой кулинарной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технологических карт.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расхода продуктов питания.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правильность отбора суточных проб готовой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Оснащенность</w:t>
            </w:r>
            <w:r w:rsidRPr="00824C9B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помещений для работы медицинского персонала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процедурного кабинета с необходимым оборудованием.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групп имеется наличие аптечек для оказания первой медицинской помощи.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медицинского кабинета.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туалета для приготовления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Охрана</w:t>
            </w:r>
            <w:r w:rsidRPr="00DB721D">
              <w:rPr>
                <w:rFonts w:cs="Times New Roman"/>
                <w:b/>
                <w:sz w:val="24"/>
                <w:szCs w:val="24"/>
              </w:rPr>
              <w:t xml:space="preserve"> зданий и территории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требований техники безопасности в образовательном пространстве групповых и других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4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имеется специализированная охрана.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6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осуществляется пропускной режим.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используются исправные и сохранные электрические розетки, выключатели.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учитывается необходимость обеспечения сопротивления изоляции электросети и заземления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7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lastRenderedPageBreak/>
              <w:t>7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</w:t>
            </w:r>
            <w:r w:rsidRPr="003C1DF9">
              <w:rPr>
                <w:rFonts w:cs="Times New Roman"/>
                <w:b/>
                <w:sz w:val="24"/>
                <w:szCs w:val="24"/>
              </w:rPr>
              <w:t xml:space="preserve"> пожарной защищённости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при подготовке к проведению новогодних утренников.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индивидуальных средств защиты органов дыхания в группах и кабинетах.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техническое состояние огнетушителей.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Работоспособность внутренних пожарных кранов на водоотдачу с перекаткой.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на рабочем месте, противопожарного режима, эвакуационных выходов.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состояние пожарной сигнализации и автоматической системы оповещения людей при пожаре.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адаптированных образовательных программ для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учебных пособий и дидактических материалов для обучения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3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паспорта доступности объекта социальной инфраструктуры для всех категорий инвалидов.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элементов доступной среды: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пандусы;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звонок;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расширенные дверные проемы;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оборудованные туалеты.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4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613AA6" w:rsidRPr="009A7241" w:rsidRDefault="00613AA6" w:rsidP="009A7241">
      <w:pPr>
        <w:spacing w:after="0"/>
        <w:rPr>
          <w:rFonts w:cs="Times New Roman"/>
        </w:rPr>
      </w:pPr>
    </w:p>
    <w:sectPr w:rsidR="00613AA6" w:rsidRPr="009A7241" w:rsidSect="00546E94">
      <w:pgSz w:w="16838" w:h="11906" w:orient="landscape"/>
      <w:pgMar w:top="567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1"/>
    <w:rsid w:val="00050E60"/>
    <w:rsid w:val="000E55DF"/>
    <w:rsid w:val="003C1DF9"/>
    <w:rsid w:val="004E65CA"/>
    <w:rsid w:val="00546E94"/>
    <w:rsid w:val="00613AA6"/>
    <w:rsid w:val="00824C9B"/>
    <w:rsid w:val="00864027"/>
    <w:rsid w:val="009905A8"/>
    <w:rsid w:val="009A7241"/>
    <w:rsid w:val="00A21DA4"/>
    <w:rsid w:val="00BD1D18"/>
    <w:rsid w:val="00C04380"/>
    <w:rsid w:val="00DB721D"/>
    <w:rsid w:val="00ED7EC9"/>
    <w:rsid w:val="00E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C90D0"/>
  <w15:chartTrackingRefBased/>
  <w15:docId w15:val="{6570E3A4-A611-4B7B-9FF6-261F474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41"/>
    <w:pPr>
      <w:spacing w:line="254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2019-03-18T09:27:00Z</dcterms:created>
  <dcterms:modified xsi:type="dcterms:W3CDTF">2024-04-18T13:45:00Z</dcterms:modified>
</cp:coreProperties>
</file>